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 w:firstRow="1" w:lastRow="1" w:firstColumn="1" w:lastColumn="1" w:noHBand="0" w:noVBand="0"/>
      </w:tblPr>
      <w:tblGrid>
        <w:gridCol w:w="10145"/>
      </w:tblGrid>
      <w:tr w:rsidR="00962C74" w:rsidRPr="00962C74" w14:paraId="5CE9C26A" w14:textId="77777777" w:rsidTr="00C317E1">
        <w:tc>
          <w:tcPr>
            <w:tcW w:w="103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A3D4E18" w14:textId="45CE4605" w:rsidR="00962C74" w:rsidRPr="00962C74" w:rsidRDefault="00962C74" w:rsidP="00962C7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2C74">
              <w:rPr>
                <w:rFonts w:asciiTheme="minorHAnsi" w:hAnsiTheme="minorHAnsi" w:cstheme="minorHAnsi"/>
                <w:b/>
              </w:rPr>
              <w:t xml:space="preserve">Annexe </w:t>
            </w:r>
            <w:r w:rsidRPr="00962C74">
              <w:rPr>
                <w:rFonts w:asciiTheme="minorHAnsi" w:hAnsiTheme="minorHAnsi" w:cstheme="minorHAnsi"/>
                <w:b/>
              </w:rPr>
              <w:t>2</w:t>
            </w:r>
            <w:r w:rsidRPr="00962C74">
              <w:rPr>
                <w:rFonts w:asciiTheme="minorHAnsi" w:hAnsiTheme="minorHAnsi" w:cstheme="minorHAnsi"/>
                <w:b/>
              </w:rPr>
              <w:t xml:space="preserve"> – </w:t>
            </w:r>
            <w:r>
              <w:rPr>
                <w:rFonts w:asciiTheme="minorHAnsi" w:hAnsiTheme="minorHAnsi" w:cstheme="minorHAnsi"/>
                <w:b/>
              </w:rPr>
              <w:t>ZONES D’ENSEIGNEMENT</w:t>
            </w:r>
          </w:p>
        </w:tc>
      </w:tr>
    </w:tbl>
    <w:p w14:paraId="41AFEFA4" w14:textId="77777777" w:rsidR="00962C74" w:rsidRPr="00962C74" w:rsidRDefault="00962C74" w:rsidP="00590B71">
      <w:pPr>
        <w:ind w:firstLine="567"/>
        <w:rPr>
          <w:rFonts w:asciiTheme="minorHAnsi" w:hAnsiTheme="minorHAnsi" w:cstheme="minorHAnsi"/>
          <w:b/>
          <w:bCs/>
          <w:sz w:val="28"/>
          <w:szCs w:val="28"/>
        </w:rPr>
      </w:pPr>
    </w:p>
    <w:p w14:paraId="4D621B94" w14:textId="77777777" w:rsidR="00962C74" w:rsidRDefault="00962C74" w:rsidP="00590B71">
      <w:pPr>
        <w:ind w:firstLine="567"/>
        <w:rPr>
          <w:rFonts w:ascii="Calibri" w:hAnsi="Calibri" w:cs="Calibri"/>
          <w:b/>
          <w:bCs/>
          <w:sz w:val="28"/>
          <w:szCs w:val="28"/>
        </w:rPr>
      </w:pPr>
    </w:p>
    <w:p w14:paraId="57B172E8" w14:textId="15893FD2" w:rsidR="003257CC" w:rsidRDefault="00590B71" w:rsidP="00590B71">
      <w:pPr>
        <w:ind w:firstLine="567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Enseignement fondamental </w:t>
      </w:r>
    </w:p>
    <w:p w14:paraId="4D921D1A" w14:textId="4CF5D9E1" w:rsidR="003257CC" w:rsidRPr="004153DE" w:rsidRDefault="004153DE">
      <w:pPr>
        <w:ind w:left="567"/>
        <w:jc w:val="both"/>
        <w:rPr>
          <w:rFonts w:ascii="Calibri" w:hAnsi="Calibri" w:cs="Calibri"/>
          <w:b/>
          <w:sz w:val="22"/>
          <w:szCs w:val="22"/>
        </w:rPr>
      </w:pPr>
      <w:r w:rsidRPr="004153DE">
        <w:rPr>
          <w:rFonts w:ascii="Calibri" w:hAnsi="Calibri" w:cs="Calibri"/>
          <w:b/>
          <w:sz w:val="22"/>
          <w:szCs w:val="22"/>
        </w:rPr>
        <w:t xml:space="preserve">Extrait de l’Arrêté du Gouvernement de la Communauté française du 27 mai 2015 </w:t>
      </w:r>
      <w:hyperlink r:id="rId7" w:history="1">
        <w:r w:rsidRPr="004153DE">
          <w:rPr>
            <w:rStyle w:val="Lienhypertexte"/>
            <w:rFonts w:ascii="Calibri" w:hAnsi="Calibri" w:cs="Calibri"/>
            <w:b/>
            <w:sz w:val="22"/>
            <w:szCs w:val="22"/>
            <w:u w:val="none"/>
          </w:rPr>
          <w:t>modifiant l'arrêté du Gouvernement de la Communauté française du 11 juillet 2002 déterminant pour l'enseignement fondamental les zones</w:t>
        </w:r>
      </w:hyperlink>
      <w:r w:rsidRPr="004153DE">
        <w:rPr>
          <w:rFonts w:ascii="Calibri" w:hAnsi="Calibri" w:cs="Calibri"/>
          <w:b/>
          <w:sz w:val="22"/>
          <w:szCs w:val="22"/>
        </w:rPr>
        <w:t xml:space="preserve"> en application de l'article 13 du décret du 14 mars 1995 relatif à la promotion d'une école de la réussite dans l'enseignement fondamental </w:t>
      </w:r>
    </w:p>
    <w:p w14:paraId="79733AB8" w14:textId="77777777" w:rsidR="003257CC" w:rsidRDefault="004153DE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>Article 1</w:t>
      </w:r>
      <w:r>
        <w:rPr>
          <w:rFonts w:ascii="Calibri" w:hAnsi="Calibri" w:cs="Calibri"/>
          <w:bCs/>
          <w:sz w:val="22"/>
          <w:szCs w:val="22"/>
          <w:vertAlign w:val="superscript"/>
        </w:rPr>
        <w:t>er</w:t>
      </w:r>
      <w:r>
        <w:rPr>
          <w:rFonts w:ascii="Calibri" w:hAnsi="Calibri" w:cs="Calibri"/>
          <w:bCs/>
          <w:sz w:val="22"/>
          <w:szCs w:val="22"/>
        </w:rPr>
        <w:t>. L'article 1</w:t>
      </w:r>
      <w:r>
        <w:rPr>
          <w:rFonts w:ascii="Calibri" w:hAnsi="Calibri" w:cs="Calibri"/>
          <w:bCs/>
          <w:sz w:val="22"/>
          <w:szCs w:val="22"/>
          <w:vertAlign w:val="superscript"/>
        </w:rPr>
        <w:t>er</w:t>
      </w:r>
      <w:r>
        <w:rPr>
          <w:rFonts w:ascii="Calibri" w:hAnsi="Calibri" w:cs="Calibri"/>
          <w:bCs/>
          <w:sz w:val="22"/>
          <w:szCs w:val="22"/>
        </w:rPr>
        <w:t xml:space="preserve"> de l'arrêté du Gouvernement de la Communauté française du 11 juillet 2002 déterminant pour l'enseignement fondamental les zones en application de l'article 13 du décret du 14 mars 1995 relatif à la promotion d'une école de la réussite dans l'enseignement fondamental est remplacé par :</w:t>
      </w:r>
      <w:r>
        <w:rPr>
          <w:rFonts w:ascii="Calibri" w:hAnsi="Calibri" w:cs="Calibri"/>
          <w:bCs/>
          <w:sz w:val="22"/>
          <w:szCs w:val="22"/>
        </w:rPr>
        <w:br/>
        <w:t>« Article 1</w:t>
      </w:r>
      <w:r>
        <w:rPr>
          <w:rFonts w:ascii="Calibri" w:hAnsi="Calibri" w:cs="Calibri"/>
          <w:bCs/>
          <w:sz w:val="22"/>
          <w:szCs w:val="22"/>
          <w:vertAlign w:val="superscript"/>
        </w:rPr>
        <w:t>er</w:t>
      </w:r>
      <w:r>
        <w:rPr>
          <w:rFonts w:ascii="Calibri" w:hAnsi="Calibri" w:cs="Calibri"/>
          <w:bCs/>
          <w:sz w:val="22"/>
          <w:szCs w:val="22"/>
        </w:rPr>
        <w:t xml:space="preserve">. - Sont constitués dix zones de </w:t>
      </w:r>
      <w:proofErr w:type="gramStart"/>
      <w:r>
        <w:rPr>
          <w:rFonts w:ascii="Calibri" w:hAnsi="Calibri" w:cs="Calibri"/>
          <w:bCs/>
          <w:sz w:val="22"/>
          <w:szCs w:val="22"/>
        </w:rPr>
        <w:t>concertation:</w:t>
      </w:r>
      <w:proofErr w:type="gramEnd"/>
    </w:p>
    <w:p w14:paraId="54A0A199" w14:textId="77777777" w:rsidR="003257CC" w:rsidRDefault="004153DE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>1. La zone de Bruxelles est composée des 19 communes de la Région de Bruxelles-Capitale : Anderlecht, Auderghem, Berchem-Sainte-Agathe, Bruxelles, Etterbeek, Evere, Forest, Ganshoren, Ixelles, Jette, Koekelberg, Molenbeek-Saint-Jean, Saint-Gilles, Saint-Josse-ten-Noode, Schaerbeek, Uccle, Watermael-Boitsfort, Woluwe-Saint-Lambert, Woluwe-Saint Pierre.</w:t>
      </w:r>
    </w:p>
    <w:p w14:paraId="3164550E" w14:textId="77777777" w:rsidR="003257CC" w:rsidRDefault="004153DE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 xml:space="preserve">2. La zone du Brabant Wallon est composée des communes suivantes : Beauvechain, Braine-l'Alleud, Braine-le-Château, Court-Saint-Etienne, Chastre, Chaumont-Gistoux, Genappe, Grez-Doiceau, </w:t>
      </w:r>
      <w:proofErr w:type="spellStart"/>
      <w:r>
        <w:rPr>
          <w:rFonts w:ascii="Calibri" w:hAnsi="Calibri" w:cs="Calibri"/>
          <w:bCs/>
          <w:sz w:val="22"/>
          <w:szCs w:val="22"/>
        </w:rPr>
        <w:t>Hélécine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Incourt, Ittre, Jodoigne, La Hulpe, </w:t>
      </w:r>
      <w:proofErr w:type="spellStart"/>
      <w:r>
        <w:rPr>
          <w:rFonts w:ascii="Calibri" w:hAnsi="Calibri" w:cs="Calibri"/>
          <w:bCs/>
          <w:sz w:val="22"/>
          <w:szCs w:val="22"/>
        </w:rPr>
        <w:t>Lasne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Mont-Saint-Guibert, Nivelles, </w:t>
      </w:r>
      <w:proofErr w:type="spellStart"/>
      <w:r>
        <w:rPr>
          <w:rFonts w:ascii="Calibri" w:hAnsi="Calibri" w:cs="Calibri"/>
          <w:bCs/>
          <w:sz w:val="22"/>
          <w:szCs w:val="22"/>
        </w:rPr>
        <w:t>Orp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-Jauche, Ottignies-Louvain-la-Neuve, Perwez, Ramillies, </w:t>
      </w:r>
      <w:proofErr w:type="spellStart"/>
      <w:r>
        <w:rPr>
          <w:rFonts w:ascii="Calibri" w:hAnsi="Calibri" w:cs="Calibri"/>
          <w:bCs/>
          <w:sz w:val="22"/>
          <w:szCs w:val="22"/>
        </w:rPr>
        <w:t>Rebecq</w:t>
      </w:r>
      <w:proofErr w:type="spellEnd"/>
      <w:r>
        <w:rPr>
          <w:rFonts w:ascii="Calibri" w:hAnsi="Calibri" w:cs="Calibri"/>
          <w:bCs/>
          <w:sz w:val="22"/>
          <w:szCs w:val="22"/>
        </w:rPr>
        <w:t>, Rixensart, Tubize, Walhain, Waterloo, Wavre, Villers-la-Ville.</w:t>
      </w:r>
    </w:p>
    <w:p w14:paraId="711FD831" w14:textId="77777777" w:rsidR="003257CC" w:rsidRDefault="003257CC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6DB5D565" w14:textId="77777777" w:rsidR="003257CC" w:rsidRDefault="004153DE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3. La zone de Huy Waremme est composée des communes suivantes : Amay, </w:t>
      </w:r>
      <w:proofErr w:type="spellStart"/>
      <w:r>
        <w:rPr>
          <w:rFonts w:ascii="Calibri" w:hAnsi="Calibri" w:cs="Calibri"/>
          <w:bCs/>
          <w:sz w:val="22"/>
          <w:szCs w:val="22"/>
        </w:rPr>
        <w:t>Anthisnes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Berloz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Braives, </w:t>
      </w:r>
      <w:proofErr w:type="spellStart"/>
      <w:r>
        <w:rPr>
          <w:rFonts w:ascii="Calibri" w:hAnsi="Calibri" w:cs="Calibri"/>
          <w:bCs/>
          <w:sz w:val="22"/>
          <w:szCs w:val="22"/>
        </w:rPr>
        <w:t>Burdinne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Clavier, </w:t>
      </w:r>
      <w:proofErr w:type="spellStart"/>
      <w:r>
        <w:rPr>
          <w:rFonts w:ascii="Calibri" w:hAnsi="Calibri" w:cs="Calibri"/>
          <w:bCs/>
          <w:sz w:val="22"/>
          <w:szCs w:val="22"/>
        </w:rPr>
        <w:t>Crisnée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Donceel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Engis, </w:t>
      </w:r>
      <w:proofErr w:type="spellStart"/>
      <w:r>
        <w:rPr>
          <w:rFonts w:ascii="Calibri" w:hAnsi="Calibri" w:cs="Calibri"/>
          <w:bCs/>
          <w:sz w:val="22"/>
          <w:szCs w:val="22"/>
        </w:rPr>
        <w:t>Faimes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Ferrières, </w:t>
      </w:r>
      <w:proofErr w:type="spellStart"/>
      <w:r>
        <w:rPr>
          <w:rFonts w:ascii="Calibri" w:hAnsi="Calibri" w:cs="Calibri"/>
          <w:bCs/>
          <w:sz w:val="22"/>
          <w:szCs w:val="22"/>
        </w:rPr>
        <w:t>Fexhe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-le-Haut-Clocher, </w:t>
      </w:r>
      <w:proofErr w:type="spellStart"/>
      <w:r>
        <w:rPr>
          <w:rFonts w:ascii="Calibri" w:hAnsi="Calibri" w:cs="Calibri"/>
          <w:bCs/>
          <w:sz w:val="22"/>
          <w:szCs w:val="22"/>
        </w:rPr>
        <w:t>Geer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Hamoir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Hannut, Héron, Huy, </w:t>
      </w:r>
      <w:proofErr w:type="spellStart"/>
      <w:r>
        <w:rPr>
          <w:rFonts w:ascii="Calibri" w:hAnsi="Calibri" w:cs="Calibri"/>
          <w:bCs/>
          <w:sz w:val="22"/>
          <w:szCs w:val="22"/>
        </w:rPr>
        <w:t>Lincent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Marchin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Modave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Nandrin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Oreye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Ouffet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Remicourt, Saint-Georges-sur-Meuse, </w:t>
      </w:r>
      <w:proofErr w:type="spellStart"/>
      <w:r>
        <w:rPr>
          <w:rFonts w:ascii="Calibri" w:hAnsi="Calibri" w:cs="Calibri"/>
          <w:bCs/>
          <w:sz w:val="22"/>
          <w:szCs w:val="22"/>
        </w:rPr>
        <w:t>Tinlot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Verlaine, Villers-le-Bouillet, Wanze, Waremme, </w:t>
      </w:r>
      <w:proofErr w:type="spellStart"/>
      <w:r>
        <w:rPr>
          <w:rFonts w:ascii="Calibri" w:hAnsi="Calibri" w:cs="Calibri"/>
          <w:bCs/>
          <w:sz w:val="22"/>
          <w:szCs w:val="22"/>
        </w:rPr>
        <w:t>Wasseiges</w:t>
      </w:r>
      <w:proofErr w:type="spellEnd"/>
      <w:r>
        <w:rPr>
          <w:rFonts w:ascii="Calibri" w:hAnsi="Calibri" w:cs="Calibri"/>
          <w:bCs/>
          <w:sz w:val="22"/>
          <w:szCs w:val="22"/>
        </w:rPr>
        <w:t>.</w:t>
      </w:r>
    </w:p>
    <w:p w14:paraId="73C87ECC" w14:textId="77777777" w:rsidR="003257CC" w:rsidRDefault="004153DE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 xml:space="preserve">4. La zone de Liège est composée des communes suivantes : Ans, Awans, Aywaille, Bassenge, Beyne-Heusay, Blegny, Chaudfontaine, Comblain-au-Pont, Dalhem, Esneux, Flémalle, Fléron, Grâce-Hollogne, Herstal, Juprelle, Liège, </w:t>
      </w:r>
      <w:proofErr w:type="spellStart"/>
      <w:r>
        <w:rPr>
          <w:rFonts w:ascii="Calibri" w:hAnsi="Calibri" w:cs="Calibri"/>
          <w:bCs/>
          <w:sz w:val="22"/>
          <w:szCs w:val="22"/>
        </w:rPr>
        <w:t>Neupré</w:t>
      </w:r>
      <w:proofErr w:type="spellEnd"/>
      <w:r>
        <w:rPr>
          <w:rFonts w:ascii="Calibri" w:hAnsi="Calibri" w:cs="Calibri"/>
          <w:bCs/>
          <w:sz w:val="22"/>
          <w:szCs w:val="22"/>
        </w:rPr>
        <w:t>, Oupeye, Saint-Nicolas, Seraing, Soumagne, Sprimont, Trooz, Visé.</w:t>
      </w:r>
    </w:p>
    <w:p w14:paraId="6DB542BB" w14:textId="77777777" w:rsidR="003257CC" w:rsidRDefault="004153DE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 xml:space="preserve">5. La zone de Verviers est composée des communes suivantes : Aubel, </w:t>
      </w:r>
      <w:proofErr w:type="spellStart"/>
      <w:r>
        <w:rPr>
          <w:rFonts w:ascii="Calibri" w:hAnsi="Calibri" w:cs="Calibri"/>
          <w:bCs/>
          <w:sz w:val="22"/>
          <w:szCs w:val="22"/>
        </w:rPr>
        <w:t>Baelen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Dison, Herve, Jalhay, Lierneux, Limbourg, Malmedy, </w:t>
      </w:r>
      <w:proofErr w:type="spellStart"/>
      <w:r>
        <w:rPr>
          <w:rFonts w:ascii="Calibri" w:hAnsi="Calibri" w:cs="Calibri"/>
          <w:bCs/>
          <w:sz w:val="22"/>
          <w:szCs w:val="22"/>
        </w:rPr>
        <w:t>Olne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Pepinster, Plombières, Spa, Stavelot, </w:t>
      </w:r>
      <w:proofErr w:type="spellStart"/>
      <w:r>
        <w:rPr>
          <w:rFonts w:ascii="Calibri" w:hAnsi="Calibri" w:cs="Calibri"/>
          <w:bCs/>
          <w:sz w:val="22"/>
          <w:szCs w:val="22"/>
        </w:rPr>
        <w:t>Stoumont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Theux, </w:t>
      </w:r>
      <w:proofErr w:type="spellStart"/>
      <w:r>
        <w:rPr>
          <w:rFonts w:ascii="Calibri" w:hAnsi="Calibri" w:cs="Calibri"/>
          <w:bCs/>
          <w:sz w:val="22"/>
          <w:szCs w:val="22"/>
        </w:rPr>
        <w:t>Thimister</w:t>
      </w:r>
      <w:proofErr w:type="spellEnd"/>
      <w:r>
        <w:rPr>
          <w:rFonts w:ascii="Calibri" w:hAnsi="Calibri" w:cs="Calibri"/>
          <w:bCs/>
          <w:sz w:val="22"/>
          <w:szCs w:val="22"/>
        </w:rPr>
        <w:t>-Clermont, Trois-Ponts, Verviers, Waimes, Welkenraedt.</w:t>
      </w:r>
    </w:p>
    <w:p w14:paraId="5DCDEC0E" w14:textId="77777777" w:rsidR="003257CC" w:rsidRDefault="004153DE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 xml:space="preserve">6. La zone de Namur est composée des communes suivantes : Andenne, Anhée, Assesse, Beauraing, Bièvre, Ciney, Dinant, </w:t>
      </w:r>
      <w:proofErr w:type="spellStart"/>
      <w:r>
        <w:rPr>
          <w:rFonts w:ascii="Calibri" w:hAnsi="Calibri" w:cs="Calibri"/>
          <w:bCs/>
          <w:sz w:val="22"/>
          <w:szCs w:val="22"/>
        </w:rPr>
        <w:t>Doische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Eghezée, Fernelmont, Floreffe, Florennes, Fosses-la-Ville, Gedinne, Gembloux, </w:t>
      </w:r>
      <w:proofErr w:type="spellStart"/>
      <w:r>
        <w:rPr>
          <w:rFonts w:ascii="Calibri" w:hAnsi="Calibri" w:cs="Calibri"/>
          <w:bCs/>
          <w:sz w:val="22"/>
          <w:szCs w:val="22"/>
        </w:rPr>
        <w:t>Gesves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Hamois, Hastière, </w:t>
      </w:r>
      <w:proofErr w:type="spellStart"/>
      <w:r>
        <w:rPr>
          <w:rFonts w:ascii="Calibri" w:hAnsi="Calibri" w:cs="Calibri"/>
          <w:bCs/>
          <w:sz w:val="22"/>
          <w:szCs w:val="22"/>
        </w:rPr>
        <w:t>Havelange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Houyet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Jemeppe-sur-Sambre, La Bruyère, Mettet, Namur, </w:t>
      </w:r>
      <w:proofErr w:type="spellStart"/>
      <w:r>
        <w:rPr>
          <w:rFonts w:ascii="Calibri" w:hAnsi="Calibri" w:cs="Calibri"/>
          <w:bCs/>
          <w:sz w:val="22"/>
          <w:szCs w:val="22"/>
        </w:rPr>
        <w:t>Ohey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Onhaye, Profondeville, Rochefort, Sambreville, Sombreffe, Somme-Leuze, </w:t>
      </w:r>
      <w:proofErr w:type="spellStart"/>
      <w:r>
        <w:rPr>
          <w:rFonts w:ascii="Calibri" w:hAnsi="Calibri" w:cs="Calibri"/>
          <w:bCs/>
          <w:sz w:val="22"/>
          <w:szCs w:val="22"/>
        </w:rPr>
        <w:t>Vresse</w:t>
      </w:r>
      <w:proofErr w:type="spellEnd"/>
      <w:r>
        <w:rPr>
          <w:rFonts w:ascii="Calibri" w:hAnsi="Calibri" w:cs="Calibri"/>
          <w:bCs/>
          <w:sz w:val="22"/>
          <w:szCs w:val="22"/>
        </w:rPr>
        <w:t>-sur-Semois, Yvoir.</w:t>
      </w:r>
    </w:p>
    <w:p w14:paraId="3FE5B31F" w14:textId="77777777" w:rsidR="003257CC" w:rsidRDefault="004153DE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 xml:space="preserve">7. La zone du Luxembourg est composée des communes suivantes : Arlon, </w:t>
      </w:r>
      <w:proofErr w:type="spellStart"/>
      <w:r>
        <w:rPr>
          <w:rFonts w:ascii="Calibri" w:hAnsi="Calibri" w:cs="Calibri"/>
          <w:bCs/>
          <w:sz w:val="22"/>
          <w:szCs w:val="22"/>
        </w:rPr>
        <w:t>Attert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Aubange, Bastogne, </w:t>
      </w:r>
      <w:proofErr w:type="spellStart"/>
      <w:r>
        <w:rPr>
          <w:rFonts w:ascii="Calibri" w:hAnsi="Calibri" w:cs="Calibri"/>
          <w:bCs/>
          <w:sz w:val="22"/>
          <w:szCs w:val="22"/>
        </w:rPr>
        <w:t>Bertogne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Bertrix, Bouillon, Chiny, </w:t>
      </w:r>
      <w:proofErr w:type="spellStart"/>
      <w:r>
        <w:rPr>
          <w:rFonts w:ascii="Calibri" w:hAnsi="Calibri" w:cs="Calibri"/>
          <w:bCs/>
          <w:sz w:val="22"/>
          <w:szCs w:val="22"/>
        </w:rPr>
        <w:t>Daverdisse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Durbuy, </w:t>
      </w:r>
      <w:proofErr w:type="spellStart"/>
      <w:r>
        <w:rPr>
          <w:rFonts w:ascii="Calibri" w:hAnsi="Calibri" w:cs="Calibri"/>
          <w:bCs/>
          <w:sz w:val="22"/>
          <w:szCs w:val="22"/>
        </w:rPr>
        <w:t>Erezée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Etalle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Fauvillers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Florenville, </w:t>
      </w:r>
      <w:proofErr w:type="spellStart"/>
      <w:r>
        <w:rPr>
          <w:rFonts w:ascii="Calibri" w:hAnsi="Calibri" w:cs="Calibri"/>
          <w:bCs/>
          <w:sz w:val="22"/>
          <w:szCs w:val="22"/>
        </w:rPr>
        <w:t>Gouvy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Habay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Herbeumont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Hotton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Houffalize, La Roche-en-Ardenne, </w:t>
      </w:r>
      <w:proofErr w:type="spellStart"/>
      <w:r>
        <w:rPr>
          <w:rFonts w:ascii="Calibri" w:hAnsi="Calibri" w:cs="Calibri"/>
          <w:bCs/>
          <w:sz w:val="22"/>
          <w:szCs w:val="22"/>
        </w:rPr>
        <w:t>Léglise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Libin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Libramont-Chevigny, </w:t>
      </w:r>
      <w:proofErr w:type="spellStart"/>
      <w:r>
        <w:rPr>
          <w:rFonts w:ascii="Calibri" w:hAnsi="Calibri" w:cs="Calibri"/>
          <w:bCs/>
          <w:sz w:val="22"/>
          <w:szCs w:val="22"/>
        </w:rPr>
        <w:t>Manhay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Marche-en-Famenne, Martelange, Messancy, Meix-devant-Virton, </w:t>
      </w:r>
      <w:proofErr w:type="spellStart"/>
      <w:r>
        <w:rPr>
          <w:rFonts w:ascii="Calibri" w:hAnsi="Calibri" w:cs="Calibri"/>
          <w:bCs/>
          <w:sz w:val="22"/>
          <w:szCs w:val="22"/>
        </w:rPr>
        <w:t>Musson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Nassogne, </w:t>
      </w:r>
      <w:proofErr w:type="spellStart"/>
      <w:r>
        <w:rPr>
          <w:rFonts w:ascii="Calibri" w:hAnsi="Calibri" w:cs="Calibri"/>
          <w:bCs/>
          <w:sz w:val="22"/>
          <w:szCs w:val="22"/>
        </w:rPr>
        <w:t>Neuchâteau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Paliseul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Rendeux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Rouvroy, Saint-Léger, </w:t>
      </w:r>
      <w:proofErr w:type="spellStart"/>
      <w:r>
        <w:rPr>
          <w:rFonts w:ascii="Calibri" w:hAnsi="Calibri" w:cs="Calibri"/>
          <w:bCs/>
          <w:sz w:val="22"/>
          <w:szCs w:val="22"/>
        </w:rPr>
        <w:t>Tellin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Tenneville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Tintigny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Saint-Hubert, </w:t>
      </w:r>
      <w:proofErr w:type="spellStart"/>
      <w:r>
        <w:rPr>
          <w:rFonts w:ascii="Calibri" w:hAnsi="Calibri" w:cs="Calibri"/>
          <w:bCs/>
          <w:sz w:val="22"/>
          <w:szCs w:val="22"/>
        </w:rPr>
        <w:t>Sainte-Ode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Vaux-sur-Sûre, Vielsalm, Virton, </w:t>
      </w:r>
      <w:proofErr w:type="spellStart"/>
      <w:r>
        <w:rPr>
          <w:rFonts w:ascii="Calibri" w:hAnsi="Calibri" w:cs="Calibri"/>
          <w:bCs/>
          <w:sz w:val="22"/>
          <w:szCs w:val="22"/>
        </w:rPr>
        <w:t>Wellin</w:t>
      </w:r>
      <w:proofErr w:type="spellEnd"/>
      <w:r>
        <w:rPr>
          <w:rFonts w:ascii="Calibri" w:hAnsi="Calibri" w:cs="Calibri"/>
          <w:bCs/>
          <w:sz w:val="22"/>
          <w:szCs w:val="22"/>
        </w:rPr>
        <w:t>.</w:t>
      </w:r>
    </w:p>
    <w:p w14:paraId="6A158486" w14:textId="77777777" w:rsidR="003257CC" w:rsidRDefault="004153DE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 xml:space="preserve">8. La zone de Wallonie Picarde est composée des communes suivantes : Antoing, Ath, Beloeil, Bernissart, </w:t>
      </w:r>
      <w:proofErr w:type="spellStart"/>
      <w:r>
        <w:rPr>
          <w:rFonts w:ascii="Calibri" w:hAnsi="Calibri" w:cs="Calibri"/>
          <w:bCs/>
          <w:sz w:val="22"/>
          <w:szCs w:val="22"/>
        </w:rPr>
        <w:t>Brugelette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Brunehaut, Celles, Chièvres, Comines-Warneton, Ellezelles, Enghien, Estaimpuis, </w:t>
      </w:r>
      <w:proofErr w:type="spellStart"/>
      <w:r>
        <w:rPr>
          <w:rFonts w:ascii="Calibri" w:hAnsi="Calibri" w:cs="Calibri"/>
          <w:bCs/>
          <w:sz w:val="22"/>
          <w:szCs w:val="22"/>
        </w:rPr>
        <w:t>Flobecq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Frasnes</w:t>
      </w:r>
      <w:proofErr w:type="spellEnd"/>
      <w:r>
        <w:rPr>
          <w:rFonts w:ascii="Calibri" w:hAnsi="Calibri" w:cs="Calibri"/>
          <w:bCs/>
          <w:sz w:val="22"/>
          <w:szCs w:val="22"/>
        </w:rPr>
        <w:t>-lez-</w:t>
      </w:r>
      <w:proofErr w:type="spellStart"/>
      <w:r>
        <w:rPr>
          <w:rFonts w:ascii="Calibri" w:hAnsi="Calibri" w:cs="Calibri"/>
          <w:bCs/>
          <w:sz w:val="22"/>
          <w:szCs w:val="22"/>
        </w:rPr>
        <w:t>Anvaing</w:t>
      </w:r>
      <w:proofErr w:type="spellEnd"/>
      <w:r>
        <w:rPr>
          <w:rFonts w:ascii="Calibri" w:hAnsi="Calibri" w:cs="Calibri"/>
          <w:bCs/>
          <w:sz w:val="22"/>
          <w:szCs w:val="22"/>
        </w:rPr>
        <w:t>, Lessines, Leuze-en-Hainaut, Mont-de-</w:t>
      </w:r>
      <w:proofErr w:type="spellStart"/>
      <w:r>
        <w:rPr>
          <w:rFonts w:ascii="Calibri" w:hAnsi="Calibri" w:cs="Calibri"/>
          <w:bCs/>
          <w:sz w:val="22"/>
          <w:szCs w:val="22"/>
        </w:rPr>
        <w:t>l'Enclus</w:t>
      </w:r>
      <w:proofErr w:type="spellEnd"/>
      <w:r>
        <w:rPr>
          <w:rFonts w:ascii="Calibri" w:hAnsi="Calibri" w:cs="Calibri"/>
          <w:bCs/>
          <w:sz w:val="22"/>
          <w:szCs w:val="22"/>
        </w:rPr>
        <w:t>, Mouscron, Pecq, Péruwelz, Rumes, Silly, Tournai.</w:t>
      </w:r>
    </w:p>
    <w:p w14:paraId="568A07D5" w14:textId="77777777" w:rsidR="003257CC" w:rsidRDefault="004153DE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 xml:space="preserve">9. La zone de Hainaut Centre est composée des communes suivantes : Binche, Boussu, Braine-le-Comte, </w:t>
      </w:r>
      <w:r>
        <w:rPr>
          <w:rFonts w:ascii="Calibri" w:hAnsi="Calibri" w:cs="Calibri"/>
          <w:bCs/>
          <w:sz w:val="22"/>
          <w:szCs w:val="22"/>
        </w:rPr>
        <w:lastRenderedPageBreak/>
        <w:t xml:space="preserve">Chapelle-lez-Herlaimont, Colfontaine, Dour, </w:t>
      </w:r>
      <w:proofErr w:type="spellStart"/>
      <w:r>
        <w:rPr>
          <w:rFonts w:ascii="Calibri" w:hAnsi="Calibri" w:cs="Calibri"/>
          <w:bCs/>
          <w:sz w:val="22"/>
          <w:szCs w:val="22"/>
        </w:rPr>
        <w:t>Ecaussines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Estinnes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Frameries, Hensies, </w:t>
      </w:r>
      <w:proofErr w:type="spellStart"/>
      <w:r>
        <w:rPr>
          <w:rFonts w:ascii="Calibri" w:hAnsi="Calibri" w:cs="Calibri"/>
          <w:bCs/>
          <w:sz w:val="22"/>
          <w:szCs w:val="22"/>
        </w:rPr>
        <w:t>Honnelles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Jurbise, La Louvière, Lens, Le Roeulx, Manage, Mons, Morlanwelz, Quaregnon, </w:t>
      </w:r>
      <w:proofErr w:type="spellStart"/>
      <w:r>
        <w:rPr>
          <w:rFonts w:ascii="Calibri" w:hAnsi="Calibri" w:cs="Calibri"/>
          <w:bCs/>
          <w:sz w:val="22"/>
          <w:szCs w:val="22"/>
        </w:rPr>
        <w:t>Quévy</w:t>
      </w:r>
      <w:proofErr w:type="spellEnd"/>
      <w:r>
        <w:rPr>
          <w:rFonts w:ascii="Calibri" w:hAnsi="Calibri" w:cs="Calibri"/>
          <w:bCs/>
          <w:sz w:val="22"/>
          <w:szCs w:val="22"/>
        </w:rPr>
        <w:t>, Quiévrain, Saint-Ghislain, Seneffe, Soignies.</w:t>
      </w:r>
    </w:p>
    <w:p w14:paraId="085B5996" w14:textId="77777777" w:rsidR="003257CC" w:rsidRDefault="004153DE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 xml:space="preserve">10. La zone de Hainaut Sud est composée des communes suivantes : Aiseau-Presles, Anderlues, Beaumont, Cerfontaine, Charleroi, Châtelet, Chimay, Courcelles, Couvin, Erquelinnes, Farciennes, Fleurus, Fontaine-l'Evêque, </w:t>
      </w:r>
      <w:proofErr w:type="spellStart"/>
      <w:r>
        <w:rPr>
          <w:rFonts w:ascii="Calibri" w:hAnsi="Calibri" w:cs="Calibri"/>
          <w:bCs/>
          <w:sz w:val="22"/>
          <w:szCs w:val="22"/>
        </w:rPr>
        <w:t>Froidchapelle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Gerpinnes, Ham-sur-Heure, Les Bons Villers, Lobbes, Merbes-le-Château, Momignies, Montigny-le-Tilleul, Philippeville, Pont-à-Celles, Sivry-Rance, Thuin, </w:t>
      </w:r>
      <w:proofErr w:type="spellStart"/>
      <w:r>
        <w:rPr>
          <w:rFonts w:ascii="Calibri" w:hAnsi="Calibri" w:cs="Calibri"/>
          <w:bCs/>
          <w:sz w:val="22"/>
          <w:szCs w:val="22"/>
        </w:rPr>
        <w:t>Viroinval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et Walcourt</w:t>
      </w:r>
      <w:proofErr w:type="gramStart"/>
      <w:r>
        <w:rPr>
          <w:rFonts w:ascii="Calibri" w:hAnsi="Calibri" w:cs="Calibri"/>
          <w:bCs/>
          <w:sz w:val="22"/>
          <w:szCs w:val="22"/>
        </w:rPr>
        <w:t>.»</w:t>
      </w:r>
      <w:proofErr w:type="gramEnd"/>
    </w:p>
    <w:p w14:paraId="597C25B6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  <w:u w:val="single"/>
        </w:rPr>
      </w:pPr>
    </w:p>
    <w:p w14:paraId="73CC85CB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  <w:u w:val="single"/>
        </w:rPr>
      </w:pPr>
    </w:p>
    <w:p w14:paraId="3D28A6E6" w14:textId="77777777" w:rsidR="004153DE" w:rsidRDefault="00590B71" w:rsidP="004153DE">
      <w:pPr>
        <w:ind w:left="567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Enseignement secondaire</w:t>
      </w:r>
      <w:r w:rsidR="004153DE">
        <w:rPr>
          <w:rFonts w:ascii="Calibri" w:hAnsi="Calibri" w:cs="Calibri"/>
          <w:b/>
          <w:bCs/>
          <w:sz w:val="28"/>
          <w:szCs w:val="28"/>
        </w:rPr>
        <w:t xml:space="preserve"> : </w:t>
      </w:r>
    </w:p>
    <w:p w14:paraId="2CAA6F88" w14:textId="0EB47CE9" w:rsidR="00590B71" w:rsidRPr="004153DE" w:rsidRDefault="004153DE" w:rsidP="004153DE">
      <w:pPr>
        <w:ind w:left="567"/>
        <w:rPr>
          <w:rFonts w:ascii="Calibri" w:hAnsi="Calibri" w:cs="Calibri"/>
          <w:b/>
          <w:bCs/>
          <w:sz w:val="22"/>
          <w:szCs w:val="22"/>
        </w:rPr>
      </w:pPr>
      <w:r w:rsidRPr="004153DE">
        <w:rPr>
          <w:rFonts w:ascii="Calibri" w:hAnsi="Calibri" w:cs="Calibri"/>
          <w:b/>
          <w:bCs/>
          <w:sz w:val="22"/>
          <w:szCs w:val="22"/>
        </w:rPr>
        <w:t xml:space="preserve">Article 8 </w:t>
      </w:r>
      <w:hyperlink r:id="rId8" w:history="1">
        <w:r w:rsidRPr="004153DE">
          <w:rPr>
            <w:rStyle w:val="Lienhypertexte"/>
            <w:rFonts w:ascii="Calibri" w:hAnsi="Calibri" w:cs="Calibri"/>
            <w:b/>
            <w:bCs/>
            <w:sz w:val="22"/>
            <w:szCs w:val="22"/>
          </w:rPr>
          <w:t>12/05/2004 - Décret relatif à la définition de la pénurie et à certaines Commissions dans l'enseignement organisé ou subventionné par la Communauté française</w:t>
        </w:r>
      </w:hyperlink>
    </w:p>
    <w:p w14:paraId="0C9F3611" w14:textId="77777777" w:rsidR="00590B71" w:rsidRPr="004153DE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  <w:u w:val="single"/>
        </w:rPr>
      </w:pPr>
    </w:p>
    <w:p w14:paraId="71FC60ED" w14:textId="0835A24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  <w:u w:val="single"/>
        </w:rPr>
        <w:t>Zone 1 : Bruxelles et Brabant wallon </w:t>
      </w:r>
      <w:r>
        <w:rPr>
          <w:rFonts w:ascii="Calibri" w:hAnsi="Calibri" w:cs="Calibri"/>
          <w:bCs/>
          <w:sz w:val="22"/>
          <w:szCs w:val="22"/>
        </w:rPr>
        <w:t>:</w:t>
      </w:r>
    </w:p>
    <w:p w14:paraId="7A1F5623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Cette zone regroupe les communes de la Région de Bruxelles-Capitale et de la province du Brabant wallon.</w:t>
      </w:r>
    </w:p>
    <w:p w14:paraId="1F38683D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5203B8D0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Pour la Région de Bruxelles-Capitale, les communes sont les suivantes : Anderlecht, Auderghem, Berchem-Sainte-Agathe, Bruxelles, Etterbeek, Evere, Forest, Ganshoren, Ixelles, Jette, Koekelberg, Molenbeek-Saint-Jean, Saint-Gilles, Saint-Josse-ten-Noode, Schaerbeek, Uccle, Watermael-Boitsfort, Woluwe-Saint-Lambert, Woluwe-Saint Pierre.</w:t>
      </w:r>
    </w:p>
    <w:p w14:paraId="73D5D66E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  <w:t xml:space="preserve">Pour la province du Brabant Wallon, ces communes sont les suivantes : Beauvechain, Braine-l'Alleud, Braine-le-Château, Court-Saint-Etienne, Chastre, Chaumont-Gistoux, Genappe, Grez-Doiceau, </w:t>
      </w:r>
      <w:proofErr w:type="spellStart"/>
      <w:r>
        <w:rPr>
          <w:rFonts w:ascii="Calibri" w:hAnsi="Calibri" w:cs="Calibri"/>
          <w:bCs/>
          <w:sz w:val="22"/>
          <w:szCs w:val="22"/>
        </w:rPr>
        <w:t>Hélécine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Incourt, Ittre, Jodoigne, La Hulpe, </w:t>
      </w:r>
      <w:proofErr w:type="spellStart"/>
      <w:r>
        <w:rPr>
          <w:rFonts w:ascii="Calibri" w:hAnsi="Calibri" w:cs="Calibri"/>
          <w:bCs/>
          <w:sz w:val="22"/>
          <w:szCs w:val="22"/>
        </w:rPr>
        <w:t>Lasne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Mont-Saint-Guibert, Nivelles, </w:t>
      </w:r>
      <w:proofErr w:type="spellStart"/>
      <w:r>
        <w:rPr>
          <w:rFonts w:ascii="Calibri" w:hAnsi="Calibri" w:cs="Calibri"/>
          <w:bCs/>
          <w:sz w:val="22"/>
          <w:szCs w:val="22"/>
        </w:rPr>
        <w:t>Orp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-Jauche, Ottignies-Louvain-la-Neuve, Perwez, Ramillies, </w:t>
      </w:r>
      <w:proofErr w:type="spellStart"/>
      <w:r>
        <w:rPr>
          <w:rFonts w:ascii="Calibri" w:hAnsi="Calibri" w:cs="Calibri"/>
          <w:bCs/>
          <w:sz w:val="22"/>
          <w:szCs w:val="22"/>
        </w:rPr>
        <w:t>Rebecq</w:t>
      </w:r>
      <w:proofErr w:type="spellEnd"/>
      <w:r>
        <w:rPr>
          <w:rFonts w:ascii="Calibri" w:hAnsi="Calibri" w:cs="Calibri"/>
          <w:bCs/>
          <w:sz w:val="22"/>
          <w:szCs w:val="22"/>
        </w:rPr>
        <w:t>, Rixensart, Tubize, Walhain, Waterloo, Wavre, Villers-la-Ville.</w:t>
      </w:r>
    </w:p>
    <w:p w14:paraId="6D90361D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5078F5FD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4B81C3B3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  <w:u w:val="single"/>
        </w:rPr>
        <w:t>Zone 2 : Wallonie Picarde – Hainaut Centre – Hainaut Sud</w:t>
      </w:r>
      <w:r>
        <w:rPr>
          <w:rFonts w:ascii="Calibri" w:hAnsi="Calibri" w:cs="Calibri"/>
          <w:bCs/>
          <w:sz w:val="22"/>
          <w:szCs w:val="22"/>
        </w:rPr>
        <w:t> :</w:t>
      </w:r>
    </w:p>
    <w:p w14:paraId="4C3D8D3B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705FFD27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Cette zone regroupe les communes des arrondissements administratifs de la Wallonie Picard, de Hainaut Centre et de Hainaut Sud.</w:t>
      </w:r>
    </w:p>
    <w:p w14:paraId="2D7FB083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16A3686F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Les communes rattachées à l’arrondissement de de la Wallonie-Picarde sont les suivantes :</w:t>
      </w:r>
    </w:p>
    <w:p w14:paraId="15EA31CF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Antoing, Ath, Beloeil, Bernissart, </w:t>
      </w:r>
      <w:proofErr w:type="spellStart"/>
      <w:r>
        <w:rPr>
          <w:rFonts w:ascii="Calibri" w:hAnsi="Calibri" w:cs="Calibri"/>
          <w:bCs/>
          <w:sz w:val="22"/>
          <w:szCs w:val="22"/>
        </w:rPr>
        <w:t>Brugelette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Brunehaut, Celles, Chièvres, Comines-Warneton, Ellezelles, Enghien, Estaimpuis, </w:t>
      </w:r>
      <w:proofErr w:type="spellStart"/>
      <w:r>
        <w:rPr>
          <w:rFonts w:ascii="Calibri" w:hAnsi="Calibri" w:cs="Calibri"/>
          <w:bCs/>
          <w:sz w:val="22"/>
          <w:szCs w:val="22"/>
        </w:rPr>
        <w:t>Flobecq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Frasnes</w:t>
      </w:r>
      <w:proofErr w:type="spellEnd"/>
      <w:r>
        <w:rPr>
          <w:rFonts w:ascii="Calibri" w:hAnsi="Calibri" w:cs="Calibri"/>
          <w:bCs/>
          <w:sz w:val="22"/>
          <w:szCs w:val="22"/>
        </w:rPr>
        <w:t>-lez-</w:t>
      </w:r>
      <w:proofErr w:type="spellStart"/>
      <w:r>
        <w:rPr>
          <w:rFonts w:ascii="Calibri" w:hAnsi="Calibri" w:cs="Calibri"/>
          <w:bCs/>
          <w:sz w:val="22"/>
          <w:szCs w:val="22"/>
        </w:rPr>
        <w:t>Anvaing</w:t>
      </w:r>
      <w:proofErr w:type="spellEnd"/>
      <w:r>
        <w:rPr>
          <w:rFonts w:ascii="Calibri" w:hAnsi="Calibri" w:cs="Calibri"/>
          <w:bCs/>
          <w:sz w:val="22"/>
          <w:szCs w:val="22"/>
        </w:rPr>
        <w:t>, Lessines, Leuze-en-Hainaut, Mont-de-</w:t>
      </w:r>
      <w:proofErr w:type="spellStart"/>
      <w:r>
        <w:rPr>
          <w:rFonts w:ascii="Calibri" w:hAnsi="Calibri" w:cs="Calibri"/>
          <w:bCs/>
          <w:sz w:val="22"/>
          <w:szCs w:val="22"/>
        </w:rPr>
        <w:t>l'Enclus</w:t>
      </w:r>
      <w:proofErr w:type="spellEnd"/>
      <w:r>
        <w:rPr>
          <w:rFonts w:ascii="Calibri" w:hAnsi="Calibri" w:cs="Calibri"/>
          <w:bCs/>
          <w:sz w:val="22"/>
          <w:szCs w:val="22"/>
        </w:rPr>
        <w:t>, Mouscron, Pecq, Péruwelz, Rumes, Silly, Tournai.</w:t>
      </w:r>
    </w:p>
    <w:p w14:paraId="5485909D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2309BCA4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Pour l’arrondissement de Hainaut Centre, il s’agit des communes suivantes :</w:t>
      </w:r>
    </w:p>
    <w:p w14:paraId="47969EBE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Binche, Boussu, Braine-le-Comte, Chapelle-lez-Herlaimont, Colfontaine, Dour, </w:t>
      </w:r>
      <w:proofErr w:type="spellStart"/>
      <w:r>
        <w:rPr>
          <w:rFonts w:ascii="Calibri" w:hAnsi="Calibri" w:cs="Calibri"/>
          <w:bCs/>
          <w:sz w:val="22"/>
          <w:szCs w:val="22"/>
        </w:rPr>
        <w:t>Ecaussines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Estinnes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Frameries, Hensies, </w:t>
      </w:r>
      <w:proofErr w:type="spellStart"/>
      <w:r>
        <w:rPr>
          <w:rFonts w:ascii="Calibri" w:hAnsi="Calibri" w:cs="Calibri"/>
          <w:bCs/>
          <w:sz w:val="22"/>
          <w:szCs w:val="22"/>
        </w:rPr>
        <w:t>Honnelles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Jurbise, La Louvière, Lens, Le Roeulx, Manage, Mons, Morlanwelz, Quaregnon, </w:t>
      </w:r>
      <w:proofErr w:type="spellStart"/>
      <w:r>
        <w:rPr>
          <w:rFonts w:ascii="Calibri" w:hAnsi="Calibri" w:cs="Calibri"/>
          <w:bCs/>
          <w:sz w:val="22"/>
          <w:szCs w:val="22"/>
        </w:rPr>
        <w:t>Quévy</w:t>
      </w:r>
      <w:proofErr w:type="spellEnd"/>
      <w:r>
        <w:rPr>
          <w:rFonts w:ascii="Calibri" w:hAnsi="Calibri" w:cs="Calibri"/>
          <w:bCs/>
          <w:sz w:val="22"/>
          <w:szCs w:val="22"/>
        </w:rPr>
        <w:t>, Quiévrain, Saint-Ghislain, Seneffe, Soignies.</w:t>
      </w:r>
    </w:p>
    <w:p w14:paraId="7854BD94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65F9DFCF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Et pour l’arrondissement de Hainaut Sud :</w:t>
      </w:r>
    </w:p>
    <w:p w14:paraId="3E0BEA95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Aiseau-Presles, Anderlues, Beaumont, Cerfontaine, Charleroi, Châtelet, Chimay, Courcelles, Couvin, Erquelinnes, Farciennes, Fleurus, Fontaine-l'Evêque, </w:t>
      </w:r>
      <w:proofErr w:type="spellStart"/>
      <w:r>
        <w:rPr>
          <w:rFonts w:ascii="Calibri" w:hAnsi="Calibri" w:cs="Calibri"/>
          <w:bCs/>
          <w:sz w:val="22"/>
          <w:szCs w:val="22"/>
        </w:rPr>
        <w:t>Froidchapelle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Gerpinnes, Ham-sur-Heure, Les Bons Villers, Lobbes, Merbes-le-Château, Momignies, Montigny-le-Tilleul, Philippeville, Pont-à-Celles, Sivry-Rance, Thuin, </w:t>
      </w:r>
      <w:proofErr w:type="spellStart"/>
      <w:r>
        <w:rPr>
          <w:rFonts w:ascii="Calibri" w:hAnsi="Calibri" w:cs="Calibri"/>
          <w:bCs/>
          <w:sz w:val="22"/>
          <w:szCs w:val="22"/>
        </w:rPr>
        <w:t>Viroinval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et Walcourt.</w:t>
      </w:r>
    </w:p>
    <w:p w14:paraId="6A331C8F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45DB9043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133A2CEA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  <w:u w:val="single"/>
        </w:rPr>
        <w:t>Zone 3 : Liège – Huy-Waremme – Verviers </w:t>
      </w:r>
      <w:r>
        <w:rPr>
          <w:rFonts w:ascii="Calibri" w:hAnsi="Calibri" w:cs="Calibri"/>
          <w:bCs/>
          <w:sz w:val="22"/>
          <w:szCs w:val="22"/>
        </w:rPr>
        <w:t>:</w:t>
      </w:r>
    </w:p>
    <w:p w14:paraId="39D9C6EE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72B15B98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Cette zone regroupe les communes des arrondissements administratifs de Liège, Huy-Waremme et Verviers.</w:t>
      </w:r>
    </w:p>
    <w:p w14:paraId="1913CCD5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27A5CF89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Pour l’arrondissement de Liège, les communes sont les suivantes :</w:t>
      </w:r>
    </w:p>
    <w:p w14:paraId="1F17918A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 xml:space="preserve">Ans, Awans, Aywaille, Bassenge, Beyne-Heusay, Blegny, Chaudfontaine, Comblain-au-Pont, Dalhem, Esneux, Flémalle, Fléron, Grâce-Hollogne, Herstal, Juprelle, Liège, </w:t>
      </w:r>
      <w:proofErr w:type="spellStart"/>
      <w:r>
        <w:rPr>
          <w:rFonts w:ascii="Calibri" w:hAnsi="Calibri" w:cs="Calibri"/>
          <w:bCs/>
          <w:sz w:val="22"/>
          <w:szCs w:val="22"/>
        </w:rPr>
        <w:t>Neupré</w:t>
      </w:r>
      <w:proofErr w:type="spellEnd"/>
      <w:r>
        <w:rPr>
          <w:rFonts w:ascii="Calibri" w:hAnsi="Calibri" w:cs="Calibri"/>
          <w:bCs/>
          <w:sz w:val="22"/>
          <w:szCs w:val="22"/>
        </w:rPr>
        <w:t>, Oupeye, Saint-Nicolas, Seraing, Soumagne, Sprimont, Trooz, Visé.</w:t>
      </w:r>
    </w:p>
    <w:p w14:paraId="66371BA5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6B2C71D7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Pour l’arrondissement de Huy-Waremme :</w:t>
      </w:r>
    </w:p>
    <w:p w14:paraId="23182A56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Amay, </w:t>
      </w:r>
      <w:proofErr w:type="spellStart"/>
      <w:r>
        <w:rPr>
          <w:rFonts w:ascii="Calibri" w:hAnsi="Calibri" w:cs="Calibri"/>
          <w:bCs/>
          <w:sz w:val="22"/>
          <w:szCs w:val="22"/>
        </w:rPr>
        <w:t>Anthisnes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Berloz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Braives, </w:t>
      </w:r>
      <w:proofErr w:type="spellStart"/>
      <w:r>
        <w:rPr>
          <w:rFonts w:ascii="Calibri" w:hAnsi="Calibri" w:cs="Calibri"/>
          <w:bCs/>
          <w:sz w:val="22"/>
          <w:szCs w:val="22"/>
        </w:rPr>
        <w:t>Burdinne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Clavier, </w:t>
      </w:r>
      <w:proofErr w:type="spellStart"/>
      <w:r>
        <w:rPr>
          <w:rFonts w:ascii="Calibri" w:hAnsi="Calibri" w:cs="Calibri"/>
          <w:bCs/>
          <w:sz w:val="22"/>
          <w:szCs w:val="22"/>
        </w:rPr>
        <w:t>Crisnée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Donceel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Engis, </w:t>
      </w:r>
      <w:proofErr w:type="spellStart"/>
      <w:r>
        <w:rPr>
          <w:rFonts w:ascii="Calibri" w:hAnsi="Calibri" w:cs="Calibri"/>
          <w:bCs/>
          <w:sz w:val="22"/>
          <w:szCs w:val="22"/>
        </w:rPr>
        <w:t>Faimes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Ferrières, </w:t>
      </w:r>
      <w:proofErr w:type="spellStart"/>
      <w:r>
        <w:rPr>
          <w:rFonts w:ascii="Calibri" w:hAnsi="Calibri" w:cs="Calibri"/>
          <w:bCs/>
          <w:sz w:val="22"/>
          <w:szCs w:val="22"/>
        </w:rPr>
        <w:t>Fexhe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-le-Haut-Clocher, </w:t>
      </w:r>
      <w:proofErr w:type="spellStart"/>
      <w:r>
        <w:rPr>
          <w:rFonts w:ascii="Calibri" w:hAnsi="Calibri" w:cs="Calibri"/>
          <w:bCs/>
          <w:sz w:val="22"/>
          <w:szCs w:val="22"/>
        </w:rPr>
        <w:t>Geer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Hamoir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Hannut, Héron, Huy, </w:t>
      </w:r>
      <w:proofErr w:type="spellStart"/>
      <w:r>
        <w:rPr>
          <w:rFonts w:ascii="Calibri" w:hAnsi="Calibri" w:cs="Calibri"/>
          <w:bCs/>
          <w:sz w:val="22"/>
          <w:szCs w:val="22"/>
        </w:rPr>
        <w:t>Lincent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Marchin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Modave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Nandrin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Oreye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Ouffet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Remicourt, Saint-Georges-sur-Meuse, </w:t>
      </w:r>
      <w:proofErr w:type="spellStart"/>
      <w:r>
        <w:rPr>
          <w:rFonts w:ascii="Calibri" w:hAnsi="Calibri" w:cs="Calibri"/>
          <w:bCs/>
          <w:sz w:val="22"/>
          <w:szCs w:val="22"/>
        </w:rPr>
        <w:t>Tinlot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Verlaine, Villers-le-Bouillet, Wanze, Waremme, </w:t>
      </w:r>
      <w:proofErr w:type="spellStart"/>
      <w:r>
        <w:rPr>
          <w:rFonts w:ascii="Calibri" w:hAnsi="Calibri" w:cs="Calibri"/>
          <w:bCs/>
          <w:sz w:val="22"/>
          <w:szCs w:val="22"/>
        </w:rPr>
        <w:t>Wasseiges</w:t>
      </w:r>
      <w:proofErr w:type="spellEnd"/>
      <w:r>
        <w:rPr>
          <w:rFonts w:ascii="Calibri" w:hAnsi="Calibri" w:cs="Calibri"/>
          <w:bCs/>
          <w:sz w:val="22"/>
          <w:szCs w:val="22"/>
        </w:rPr>
        <w:t>.</w:t>
      </w:r>
    </w:p>
    <w:p w14:paraId="711CE800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7CFD4221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1ADEEF31" w14:textId="52C82F17" w:rsidR="00590B71" w:rsidRDefault="00590B71" w:rsidP="00590B71">
      <w:pPr>
        <w:spacing w:after="160" w:line="259" w:lineRule="auto"/>
        <w:rPr>
          <w:rFonts w:ascii="Calibri" w:hAnsi="Calibri" w:cs="Calibri"/>
          <w:bCs/>
          <w:sz w:val="22"/>
          <w:szCs w:val="22"/>
        </w:rPr>
      </w:pPr>
    </w:p>
    <w:p w14:paraId="758AE05F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Et pour l’arrondissement de Verviers :</w:t>
      </w:r>
    </w:p>
    <w:p w14:paraId="6BCE97D7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Aubel, </w:t>
      </w:r>
      <w:proofErr w:type="spellStart"/>
      <w:r>
        <w:rPr>
          <w:rFonts w:ascii="Calibri" w:hAnsi="Calibri" w:cs="Calibri"/>
          <w:bCs/>
          <w:sz w:val="22"/>
          <w:szCs w:val="22"/>
        </w:rPr>
        <w:t>Baelen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Dison, Herve, Jalhay, Lierneux, Limbourg, Malmedy, </w:t>
      </w:r>
      <w:proofErr w:type="spellStart"/>
      <w:r>
        <w:rPr>
          <w:rFonts w:ascii="Calibri" w:hAnsi="Calibri" w:cs="Calibri"/>
          <w:bCs/>
          <w:sz w:val="22"/>
          <w:szCs w:val="22"/>
        </w:rPr>
        <w:t>Olne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Pepinster, Plombières, Spa, Stavelot, </w:t>
      </w:r>
      <w:proofErr w:type="spellStart"/>
      <w:r>
        <w:rPr>
          <w:rFonts w:ascii="Calibri" w:hAnsi="Calibri" w:cs="Calibri"/>
          <w:bCs/>
          <w:sz w:val="22"/>
          <w:szCs w:val="22"/>
        </w:rPr>
        <w:t>Stoumont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Theux, </w:t>
      </w:r>
      <w:proofErr w:type="spellStart"/>
      <w:r>
        <w:rPr>
          <w:rFonts w:ascii="Calibri" w:hAnsi="Calibri" w:cs="Calibri"/>
          <w:bCs/>
          <w:sz w:val="22"/>
          <w:szCs w:val="22"/>
        </w:rPr>
        <w:t>Thimister</w:t>
      </w:r>
      <w:proofErr w:type="spellEnd"/>
      <w:r>
        <w:rPr>
          <w:rFonts w:ascii="Calibri" w:hAnsi="Calibri" w:cs="Calibri"/>
          <w:bCs/>
          <w:sz w:val="22"/>
          <w:szCs w:val="22"/>
        </w:rPr>
        <w:t>-Clermont, Trois-Ponts, Verviers, Waimes, Welkenraedt.</w:t>
      </w:r>
    </w:p>
    <w:p w14:paraId="6FA412B5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046E907C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20A999B9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  <w:u w:val="single"/>
        </w:rPr>
        <w:t>Zone 4 : Namur et Luxembourg </w:t>
      </w:r>
      <w:r>
        <w:rPr>
          <w:rFonts w:ascii="Calibri" w:hAnsi="Calibri" w:cs="Calibri"/>
          <w:bCs/>
          <w:sz w:val="22"/>
          <w:szCs w:val="22"/>
        </w:rPr>
        <w:t>:</w:t>
      </w:r>
    </w:p>
    <w:p w14:paraId="257B1C49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7EF8DA55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Cette zone regroupe les communes des provinces de Namur et Luxembourg.</w:t>
      </w:r>
    </w:p>
    <w:p w14:paraId="2BDCE977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54F53400" w14:textId="77777777" w:rsidR="00590B71" w:rsidRDefault="00590B71" w:rsidP="00590B71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La province de Namur est composée des communes suivantes : Andenne, Anhée, Assesse, Beauraing, Bièvre, Ciney, Dinant, </w:t>
      </w:r>
      <w:proofErr w:type="spellStart"/>
      <w:r>
        <w:rPr>
          <w:rFonts w:ascii="Calibri" w:hAnsi="Calibri" w:cs="Calibri"/>
          <w:bCs/>
          <w:sz w:val="22"/>
          <w:szCs w:val="22"/>
        </w:rPr>
        <w:t>Doische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Eghezée, Fernelmont, Floreffe, Florennes, Fosses-la-Ville, Gedinne, Gembloux, </w:t>
      </w:r>
      <w:proofErr w:type="spellStart"/>
      <w:r>
        <w:rPr>
          <w:rFonts w:ascii="Calibri" w:hAnsi="Calibri" w:cs="Calibri"/>
          <w:bCs/>
          <w:sz w:val="22"/>
          <w:szCs w:val="22"/>
        </w:rPr>
        <w:t>Gesves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Hamois, Hastière, </w:t>
      </w:r>
      <w:proofErr w:type="spellStart"/>
      <w:r>
        <w:rPr>
          <w:rFonts w:ascii="Calibri" w:hAnsi="Calibri" w:cs="Calibri"/>
          <w:bCs/>
          <w:sz w:val="22"/>
          <w:szCs w:val="22"/>
        </w:rPr>
        <w:t>Havelange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Houyet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Jemeppe-sur-Sambre, La Bruyère, Mettet, Namur, </w:t>
      </w:r>
      <w:proofErr w:type="spellStart"/>
      <w:r>
        <w:rPr>
          <w:rFonts w:ascii="Calibri" w:hAnsi="Calibri" w:cs="Calibri"/>
          <w:bCs/>
          <w:sz w:val="22"/>
          <w:szCs w:val="22"/>
        </w:rPr>
        <w:t>Ohey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Onhaye, Profondeville, Rochefort, Sambreville, Sombreffe, Somme-Leuze, </w:t>
      </w:r>
      <w:proofErr w:type="spellStart"/>
      <w:r>
        <w:rPr>
          <w:rFonts w:ascii="Calibri" w:hAnsi="Calibri" w:cs="Calibri"/>
          <w:bCs/>
          <w:sz w:val="22"/>
          <w:szCs w:val="22"/>
        </w:rPr>
        <w:t>Vresse</w:t>
      </w:r>
      <w:proofErr w:type="spellEnd"/>
      <w:r>
        <w:rPr>
          <w:rFonts w:ascii="Calibri" w:hAnsi="Calibri" w:cs="Calibri"/>
          <w:bCs/>
          <w:sz w:val="22"/>
          <w:szCs w:val="22"/>
        </w:rPr>
        <w:t>-sur-Semois, Yvoir.</w:t>
      </w:r>
    </w:p>
    <w:p w14:paraId="5DD8BF90" w14:textId="77777777" w:rsidR="00590B71" w:rsidRDefault="00590B71" w:rsidP="00590B71">
      <w:pPr>
        <w:ind w:left="567"/>
        <w:jc w:val="both"/>
      </w:pPr>
      <w:r>
        <w:rPr>
          <w:rFonts w:ascii="Calibri" w:hAnsi="Calibri" w:cs="Calibri"/>
          <w:bCs/>
          <w:sz w:val="22"/>
          <w:szCs w:val="22"/>
        </w:rPr>
        <w:br/>
        <w:t xml:space="preserve">Et la province du Luxembourg est composée des communes suivantes : Arlon, </w:t>
      </w:r>
      <w:proofErr w:type="spellStart"/>
      <w:r>
        <w:rPr>
          <w:rFonts w:ascii="Calibri" w:hAnsi="Calibri" w:cs="Calibri"/>
          <w:bCs/>
          <w:sz w:val="22"/>
          <w:szCs w:val="22"/>
        </w:rPr>
        <w:t>Attert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Aubange, Bastogne, </w:t>
      </w:r>
      <w:proofErr w:type="spellStart"/>
      <w:r>
        <w:rPr>
          <w:rFonts w:ascii="Calibri" w:hAnsi="Calibri" w:cs="Calibri"/>
          <w:bCs/>
          <w:sz w:val="22"/>
          <w:szCs w:val="22"/>
        </w:rPr>
        <w:t>Bertogne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Bertrix, Bouillon, Chiny, </w:t>
      </w:r>
      <w:proofErr w:type="spellStart"/>
      <w:r>
        <w:rPr>
          <w:rFonts w:ascii="Calibri" w:hAnsi="Calibri" w:cs="Calibri"/>
          <w:bCs/>
          <w:sz w:val="22"/>
          <w:szCs w:val="22"/>
        </w:rPr>
        <w:t>Daverdisse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Durbuy, </w:t>
      </w:r>
      <w:proofErr w:type="spellStart"/>
      <w:r>
        <w:rPr>
          <w:rFonts w:ascii="Calibri" w:hAnsi="Calibri" w:cs="Calibri"/>
          <w:bCs/>
          <w:sz w:val="22"/>
          <w:szCs w:val="22"/>
        </w:rPr>
        <w:t>Erezée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Etalle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Fauvillers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Florenville, </w:t>
      </w:r>
      <w:proofErr w:type="spellStart"/>
      <w:r>
        <w:rPr>
          <w:rFonts w:ascii="Calibri" w:hAnsi="Calibri" w:cs="Calibri"/>
          <w:bCs/>
          <w:sz w:val="22"/>
          <w:szCs w:val="22"/>
        </w:rPr>
        <w:t>Gouvy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Habay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Herbeumont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Hotton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Houffalize, La Roche-en-Ardenne, </w:t>
      </w:r>
      <w:proofErr w:type="spellStart"/>
      <w:r>
        <w:rPr>
          <w:rFonts w:ascii="Calibri" w:hAnsi="Calibri" w:cs="Calibri"/>
          <w:bCs/>
          <w:sz w:val="22"/>
          <w:szCs w:val="22"/>
        </w:rPr>
        <w:t>Léglise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Libin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Libramont-Chevigny, </w:t>
      </w:r>
      <w:proofErr w:type="spellStart"/>
      <w:r>
        <w:rPr>
          <w:rFonts w:ascii="Calibri" w:hAnsi="Calibri" w:cs="Calibri"/>
          <w:bCs/>
          <w:sz w:val="22"/>
          <w:szCs w:val="22"/>
        </w:rPr>
        <w:t>Manhay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Marche-en-Famenne, Martelange, Messancy, Meix-devant-Virton, </w:t>
      </w:r>
      <w:proofErr w:type="spellStart"/>
      <w:r>
        <w:rPr>
          <w:rFonts w:ascii="Calibri" w:hAnsi="Calibri" w:cs="Calibri"/>
          <w:bCs/>
          <w:sz w:val="22"/>
          <w:szCs w:val="22"/>
        </w:rPr>
        <w:t>Musson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Nassogne, </w:t>
      </w:r>
      <w:proofErr w:type="spellStart"/>
      <w:r>
        <w:rPr>
          <w:rFonts w:ascii="Calibri" w:hAnsi="Calibri" w:cs="Calibri"/>
          <w:bCs/>
          <w:sz w:val="22"/>
          <w:szCs w:val="22"/>
        </w:rPr>
        <w:t>Neuchâteau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Paliseul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Rendeux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Rouvroy, Saint-Léger, </w:t>
      </w:r>
      <w:proofErr w:type="spellStart"/>
      <w:r>
        <w:rPr>
          <w:rFonts w:ascii="Calibri" w:hAnsi="Calibri" w:cs="Calibri"/>
          <w:bCs/>
          <w:sz w:val="22"/>
          <w:szCs w:val="22"/>
        </w:rPr>
        <w:t>Tellin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Tenneville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Tintigny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Saint-Hubert, </w:t>
      </w:r>
      <w:proofErr w:type="spellStart"/>
      <w:r>
        <w:rPr>
          <w:rFonts w:ascii="Calibri" w:hAnsi="Calibri" w:cs="Calibri"/>
          <w:bCs/>
          <w:sz w:val="22"/>
          <w:szCs w:val="22"/>
        </w:rPr>
        <w:t>Sainte-Ode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Vaux-sur-Sûre, Vielsalm, Virton, </w:t>
      </w:r>
      <w:proofErr w:type="spellStart"/>
      <w:r>
        <w:rPr>
          <w:rFonts w:ascii="Calibri" w:hAnsi="Calibri" w:cs="Calibri"/>
          <w:bCs/>
          <w:sz w:val="22"/>
          <w:szCs w:val="22"/>
        </w:rPr>
        <w:t>Wellin</w:t>
      </w:r>
      <w:proofErr w:type="spellEnd"/>
      <w:r>
        <w:rPr>
          <w:rFonts w:ascii="Calibri" w:hAnsi="Calibri" w:cs="Calibri"/>
          <w:bCs/>
          <w:sz w:val="22"/>
          <w:szCs w:val="22"/>
        </w:rPr>
        <w:t>.</w:t>
      </w:r>
    </w:p>
    <w:p w14:paraId="338895DA" w14:textId="77777777" w:rsidR="003257CC" w:rsidRDefault="003257CC">
      <w:pPr>
        <w:jc w:val="both"/>
      </w:pPr>
    </w:p>
    <w:sectPr w:rsidR="003257CC" w:rsidSect="00680113"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851" w:bottom="709" w:left="851" w:header="284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67963" w14:textId="77777777" w:rsidR="003257CC" w:rsidRDefault="004153DE">
      <w:r>
        <w:separator/>
      </w:r>
    </w:p>
  </w:endnote>
  <w:endnote w:type="continuationSeparator" w:id="0">
    <w:p w14:paraId="11109773" w14:textId="77777777" w:rsidR="003257CC" w:rsidRDefault="0041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081B" w14:textId="2B9A5B24" w:rsidR="003257CC" w:rsidRDefault="004153D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680113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5649B525" w14:textId="77777777" w:rsidR="003257CC" w:rsidRDefault="003257C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34FF6" w14:textId="139E2CDD" w:rsidR="003257CC" w:rsidRDefault="003257CC">
    <w:pPr>
      <w:pStyle w:val="Pieddepage"/>
      <w:framePr w:wrap="around" w:vAnchor="text" w:hAnchor="margin" w:xAlign="right" w:y="1"/>
      <w:ind w:right="360"/>
      <w:rPr>
        <w:rStyle w:val="Numrodepage"/>
      </w:rPr>
    </w:pPr>
  </w:p>
  <w:p w14:paraId="362BD28F" w14:textId="455DE259" w:rsidR="00680113" w:rsidRPr="00680113" w:rsidRDefault="00680113" w:rsidP="00680113">
    <w:pPr>
      <w:tabs>
        <w:tab w:val="center" w:pos="4536"/>
        <w:tab w:val="right" w:pos="9072"/>
      </w:tabs>
      <w:rPr>
        <w:rFonts w:ascii="Arial Narrow" w:eastAsiaTheme="minorHAnsi" w:hAnsi="Arial Narrow" w:cstheme="minorBidi"/>
        <w:sz w:val="20"/>
        <w:szCs w:val="20"/>
        <w:lang w:eastAsia="en-US"/>
      </w:rPr>
    </w:pPr>
    <w:r w:rsidRPr="00680113">
      <w:rPr>
        <w:rFonts w:ascii="Arial Narrow" w:eastAsiaTheme="minorHAnsi" w:hAnsi="Arial Narrow" w:cstheme="minorBidi"/>
        <w:sz w:val="20"/>
        <w:szCs w:val="20"/>
        <w:lang w:eastAsia="en-US"/>
      </w:rPr>
      <w:t>Service de la gestion des emplois - Direction des Titres et Fonctions et de la Gestion des Emplois - Administration générale de l'Enseignement (AGE)</w:t>
    </w:r>
    <w:r w:rsidRPr="00680113">
      <w:rPr>
        <w:rFonts w:ascii="Arial Narrow" w:eastAsiaTheme="minorHAnsi" w:hAnsi="Arial Narrow" w:cstheme="minorBidi"/>
        <w:sz w:val="20"/>
        <w:szCs w:val="20"/>
        <w:lang w:eastAsia="en-US"/>
      </w:rPr>
      <w:tab/>
    </w:r>
    <w:r w:rsidRPr="00680113">
      <w:rPr>
        <w:rFonts w:ascii="Arial Narrow" w:eastAsiaTheme="minorHAnsi" w:hAnsi="Arial Narrow" w:cstheme="minorBidi"/>
        <w:sz w:val="20"/>
        <w:szCs w:val="20"/>
        <w:lang w:eastAsia="en-US"/>
      </w:rPr>
      <w:tab/>
    </w:r>
    <w:r w:rsidRPr="00680113">
      <w:rPr>
        <w:rFonts w:ascii="Arial Narrow" w:eastAsiaTheme="minorHAnsi" w:hAnsi="Arial Narrow" w:cstheme="minorBidi"/>
        <w:sz w:val="20"/>
        <w:szCs w:val="20"/>
        <w:lang w:val="fr-FR" w:eastAsia="en-US"/>
      </w:rPr>
      <w:t xml:space="preserve">Page </w:t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fldChar w:fldCharType="begin"/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instrText>PAGE  \* Arabic  \* MERGEFORMAT</w:instrText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fldChar w:fldCharType="separate"/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t>1</w:t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fldChar w:fldCharType="end"/>
    </w:r>
    <w:r w:rsidRPr="00680113">
      <w:rPr>
        <w:rFonts w:ascii="Arial Narrow" w:eastAsiaTheme="minorHAnsi" w:hAnsi="Arial Narrow" w:cstheme="minorBidi"/>
        <w:sz w:val="20"/>
        <w:szCs w:val="20"/>
        <w:lang w:val="fr-FR" w:eastAsia="en-US"/>
      </w:rPr>
      <w:t xml:space="preserve"> sur </w:t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fldChar w:fldCharType="begin"/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instrText>NUMPAGES  \* Arabic  \* MERGEFORMAT</w:instrText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fldChar w:fldCharType="separate"/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t>2</w:t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fldChar w:fldCharType="end"/>
    </w:r>
  </w:p>
  <w:p w14:paraId="649FE38F" w14:textId="77777777" w:rsidR="003257CC" w:rsidRDefault="003257CC">
    <w:pPr>
      <w:pStyle w:val="Pieddepage"/>
      <w:tabs>
        <w:tab w:val="clear" w:pos="4536"/>
        <w:tab w:val="clear" w:pos="9072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C1DE9" w14:textId="77777777" w:rsidR="00680113" w:rsidRPr="00680113" w:rsidRDefault="00680113" w:rsidP="00680113">
    <w:pPr>
      <w:tabs>
        <w:tab w:val="center" w:pos="4536"/>
        <w:tab w:val="right" w:pos="9072"/>
      </w:tabs>
      <w:rPr>
        <w:rFonts w:ascii="Arial Narrow" w:eastAsiaTheme="minorHAnsi" w:hAnsi="Arial Narrow" w:cstheme="minorBidi"/>
        <w:sz w:val="20"/>
        <w:szCs w:val="20"/>
        <w:lang w:eastAsia="en-US"/>
      </w:rPr>
    </w:pPr>
    <w:r w:rsidRPr="00680113">
      <w:rPr>
        <w:rFonts w:ascii="Arial Narrow" w:eastAsiaTheme="minorHAnsi" w:hAnsi="Arial Narrow" w:cstheme="minorBidi"/>
        <w:sz w:val="20"/>
        <w:szCs w:val="20"/>
        <w:lang w:eastAsia="en-US"/>
      </w:rPr>
      <w:t>Service de la gestion des emplois - Direction des Titres et Fonctions et de la Gestion des Emplois - Administration générale de l'Enseignement (AGE)</w:t>
    </w:r>
    <w:r w:rsidRPr="00680113">
      <w:rPr>
        <w:rFonts w:ascii="Arial Narrow" w:eastAsiaTheme="minorHAnsi" w:hAnsi="Arial Narrow" w:cstheme="minorBidi"/>
        <w:sz w:val="20"/>
        <w:szCs w:val="20"/>
        <w:lang w:eastAsia="en-US"/>
      </w:rPr>
      <w:tab/>
    </w:r>
    <w:r w:rsidRPr="00680113">
      <w:rPr>
        <w:rFonts w:ascii="Arial Narrow" w:eastAsiaTheme="minorHAnsi" w:hAnsi="Arial Narrow" w:cstheme="minorBidi"/>
        <w:sz w:val="20"/>
        <w:szCs w:val="20"/>
        <w:lang w:eastAsia="en-US"/>
      </w:rPr>
      <w:tab/>
    </w:r>
    <w:r w:rsidRPr="00680113">
      <w:rPr>
        <w:rFonts w:ascii="Arial Narrow" w:eastAsiaTheme="minorHAnsi" w:hAnsi="Arial Narrow" w:cstheme="minorBidi"/>
        <w:sz w:val="20"/>
        <w:szCs w:val="20"/>
        <w:lang w:val="fr-FR" w:eastAsia="en-US"/>
      </w:rPr>
      <w:t xml:space="preserve">Page </w:t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fldChar w:fldCharType="begin"/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instrText>PAGE  \* Arabic  \* MERGEFORMAT</w:instrText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fldChar w:fldCharType="separate"/>
    </w:r>
    <w:r>
      <w:rPr>
        <w:b/>
        <w:bCs/>
        <w:sz w:val="20"/>
        <w:szCs w:val="20"/>
      </w:rPr>
      <w:t>2</w:t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fldChar w:fldCharType="end"/>
    </w:r>
    <w:r w:rsidRPr="00680113">
      <w:rPr>
        <w:rFonts w:ascii="Arial Narrow" w:eastAsiaTheme="minorHAnsi" w:hAnsi="Arial Narrow" w:cstheme="minorBidi"/>
        <w:sz w:val="20"/>
        <w:szCs w:val="20"/>
        <w:lang w:val="fr-FR" w:eastAsia="en-US"/>
      </w:rPr>
      <w:t xml:space="preserve"> sur </w:t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fldChar w:fldCharType="begin"/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instrText>NUMPAGES  \* Arabic  \* MERGEFORMAT</w:instrText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fldChar w:fldCharType="separate"/>
    </w:r>
    <w:r>
      <w:rPr>
        <w:b/>
        <w:bCs/>
        <w:sz w:val="20"/>
        <w:szCs w:val="20"/>
      </w:rPr>
      <w:t>3</w:t>
    </w:r>
    <w:r w:rsidRPr="00680113">
      <w:rPr>
        <w:rFonts w:ascii="Arial Narrow" w:eastAsiaTheme="minorHAnsi" w:hAnsi="Arial Narrow" w:cstheme="minorBidi"/>
        <w:b/>
        <w:bCs/>
        <w:sz w:val="20"/>
        <w:szCs w:val="20"/>
        <w:lang w:eastAsia="en-US"/>
      </w:rPr>
      <w:fldChar w:fldCharType="end"/>
    </w:r>
  </w:p>
  <w:p w14:paraId="0204447F" w14:textId="77777777" w:rsidR="00680113" w:rsidRDefault="00680113" w:rsidP="00680113">
    <w:pPr>
      <w:pStyle w:val="Pieddepage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CB60A" w14:textId="77777777" w:rsidR="003257CC" w:rsidRDefault="004153DE">
      <w:r>
        <w:separator/>
      </w:r>
    </w:p>
  </w:footnote>
  <w:footnote w:type="continuationSeparator" w:id="0">
    <w:p w14:paraId="40CD0427" w14:textId="77777777" w:rsidR="003257CC" w:rsidRDefault="00415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D260" w14:textId="77777777" w:rsidR="00680113" w:rsidRDefault="00680113" w:rsidP="00680113">
    <w:pPr>
      <w:spacing w:line="240" w:lineRule="exact"/>
      <w:rPr>
        <w:rFonts w:ascii="Arial Narrow" w:eastAsiaTheme="minorHAnsi" w:hAnsi="Arial Narrow" w:cs="Calibri"/>
        <w:b/>
        <w:bCs/>
        <w:sz w:val="20"/>
        <w:szCs w:val="20"/>
        <w:lang w:eastAsia="en-US"/>
      </w:rPr>
    </w:pPr>
    <w:bookmarkStart w:id="0" w:name="_Hlk198202670"/>
    <w:r w:rsidRPr="00680113">
      <w:rPr>
        <w:rFonts w:ascii="Arial Narrow" w:eastAsiaTheme="minorHAnsi" w:hAnsi="Arial Narrow" w:cs="Calibri"/>
        <w:sz w:val="16"/>
        <w:szCs w:val="16"/>
        <w:lang w:eastAsia="en-US"/>
      </w:rPr>
      <w:t>CLASSEMENT DES MAITRES ET DES PROFESSEURS DE RELIGION DANS L’ENSEIGNEMENT FONDAMENTAL ET SECONDAIRE OFFICIEL SUBVENTIONNE</w:t>
    </w:r>
    <w:r w:rsidRPr="00680113">
      <w:rPr>
        <w:rFonts w:ascii="Arial Narrow" w:eastAsiaTheme="minorHAnsi" w:hAnsi="Arial Narrow" w:cs="Calibri"/>
        <w:b/>
        <w:bCs/>
        <w:sz w:val="20"/>
        <w:szCs w:val="20"/>
        <w:lang w:eastAsia="en-US"/>
      </w:rPr>
      <w:t xml:space="preserve"> </w:t>
    </w:r>
  </w:p>
  <w:bookmarkEnd w:id="0"/>
  <w:p w14:paraId="77DB8AF2" w14:textId="77777777" w:rsidR="003257CC" w:rsidRDefault="003257C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7CC"/>
    <w:rsid w:val="003257CC"/>
    <w:rsid w:val="004153DE"/>
    <w:rsid w:val="00590B71"/>
    <w:rsid w:val="005A37E1"/>
    <w:rsid w:val="00680113"/>
    <w:rsid w:val="008B1D7A"/>
    <w:rsid w:val="00962C74"/>
    <w:rsid w:val="009C3C88"/>
    <w:rsid w:val="00D10A1E"/>
    <w:rsid w:val="00E97EF6"/>
    <w:rsid w:val="00F6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5CEECD"/>
  <w15:chartTrackingRefBased/>
  <w15:docId w15:val="{86B05398-7E96-41AA-BBE3-9FF7F6EE0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character" w:customStyle="1" w:styleId="En-tteCar">
    <w:name w:val="En-tête Car"/>
    <w:basedOn w:val="Policepardfaut"/>
    <w:link w:val="En-tte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character" w:customStyle="1" w:styleId="PieddepageCar">
    <w:name w:val="Pied de page Car"/>
    <w:basedOn w:val="Policepardfaut"/>
    <w:link w:val="Pieddepage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4153D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153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allilex.cfwb.be/textes-normatifs/2878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allilex.cfwb.be/sites/default/files/imports/27105_001.pdf" TargetMode="Externa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FA540D-EC2C-4CDE-A639-41FC618B1D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321B6B-3801-4C93-937F-3FD669397119}"/>
</file>

<file path=customXml/itemProps3.xml><?xml version="1.0" encoding="utf-8"?>
<ds:datastoreItem xmlns:ds="http://schemas.openxmlformats.org/officeDocument/2006/customXml" ds:itemID="{295F39F5-9DB1-495D-9639-084138F0EC53}"/>
</file>

<file path=customXml/itemProps4.xml><?xml version="1.0" encoding="utf-8"?>
<ds:datastoreItem xmlns:ds="http://schemas.openxmlformats.org/officeDocument/2006/customXml" ds:itemID="{9F65D2EB-08B1-4E7E-8E25-DEA6E5837C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1387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SADIN Emilie</dc:creator>
  <cp:keywords/>
  <dc:description/>
  <cp:lastModifiedBy>GOUIGAH Sabrina</cp:lastModifiedBy>
  <cp:revision>3</cp:revision>
  <cp:lastPrinted>2019-03-01T14:32:00Z</cp:lastPrinted>
  <dcterms:created xsi:type="dcterms:W3CDTF">2025-05-15T10:00:00Z</dcterms:created>
  <dcterms:modified xsi:type="dcterms:W3CDTF">2025-05-15T10:46:00Z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